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Trail Crew Sweater Supplier Handoff</w:t>
      </w:r>
    </w:p>
    <w:p>
      <w:pPr>
        <w:spacing w:after="200"/>
      </w:pPr>
      <w:r>
        <w:rPr>
          <w:b/>
          <w:color w:val="000000"/>
          <w:sz w:val="20"/>
        </w:rPr>
        <w:t>Incomplete evidence example</w:t>
      </w:r>
    </w:p>
    <w:p>
      <w:r>
        <w:t>This fictional supplier handoff intentionally leaves several fields unresolved. It demonstrates that the review workflow preserves documented facts, exposes gaps and prevents calculation until the missing information is supplied.</w:t>
      </w:r>
    </w:p>
    <w:p>
      <w:pPr>
        <w:pStyle w:val="Heading1"/>
      </w:pPr>
      <w:r>
        <w:t>Available product information</w:t>
      </w:r>
    </w:p>
    <w:tbl>
      <w:tblPr>
        <w:tblW w:type="auto" w:w="0"/>
        <w:jc w:val="center"/>
        <w:tblLayout w:type="fixed"/>
        <w:tblLook w:firstColumn="1" w:firstRow="1" w:lastColumn="0" w:lastRow="0" w:noHBand="0" w:noVBand="1" w:val="04A0"/>
      </w:tblPr>
      <w:tblGrid>
        <w:gridCol w:w="5083"/>
        <w:gridCol w:w="5083"/>
      </w:tblGrid>
      <w:tr>
        <w:trPr>
          <w:tblHeader w:val="true"/>
        </w:trPr>
        <w:tc>
          <w:tcPr>
            <w:tcW w:type="dxa" w:w="3240"/>
            <w:shd w:fill="001D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pPr>
            <w:r>
              <w:rPr>
                <w:rFonts w:ascii="Aptos" w:hAnsi="Aptos"/>
                <w:b/>
                <w:color w:val="FFFFFF"/>
                <w:sz w:val="18"/>
              </w:rPr>
              <w:t>Field</w:t>
            </w:r>
          </w:p>
        </w:tc>
        <w:tc>
          <w:tcPr>
            <w:tcW w:type="dxa" w:w="6768"/>
            <w:shd w:fill="001D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pPr>
            <w:r>
              <w:rPr>
                <w:rFonts w:ascii="Aptos" w:hAnsi="Aptos"/>
                <w:b/>
                <w:color w:val="FFFFFF"/>
                <w:sz w:val="18"/>
              </w:rPr>
              <w:t>Supplier statement</w:t>
            </w:r>
          </w:p>
        </w:tc>
      </w:tr>
      <w:tr>
        <w:tc>
          <w:tcPr>
            <w:tcW w:type="dxa" w:w="3240"/>
            <w:shd w:fill="FFFFFF"/>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pPr>
            <w:r>
              <w:rPr>
                <w:rFonts w:ascii="Aptos" w:hAnsi="Aptos"/>
                <w:color w:val="0A1F44"/>
                <w:sz w:val="19"/>
              </w:rPr>
              <w:t>Product name</w:t>
            </w:r>
          </w:p>
        </w:tc>
        <w:tc>
          <w:tcPr>
            <w:tcW w:type="dxa" w:w="6768"/>
            <w:shd w:fill="FFFFFF"/>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pPr>
            <w:r>
              <w:rPr>
                <w:rFonts w:ascii="Aptos" w:hAnsi="Aptos"/>
                <w:color w:val="0A1F44"/>
                <w:sz w:val="19"/>
              </w:rPr>
              <w:t>Trail Crew Sweater</w:t>
            </w:r>
          </w:p>
        </w:tc>
      </w:tr>
      <w:tr>
        <w:tc>
          <w:tcPr>
            <w:tcW w:type="dxa" w:w="3240"/>
            <w:shd w:fill="F5F7FA"/>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pPr>
            <w:r>
              <w:rPr>
                <w:rFonts w:ascii="Aptos" w:hAnsi="Aptos"/>
                <w:color w:val="0A1F44"/>
                <w:sz w:val="19"/>
              </w:rPr>
              <w:t>Supplier reference</w:t>
            </w:r>
          </w:p>
        </w:tc>
        <w:tc>
          <w:tcPr>
            <w:tcW w:type="dxa" w:w="6768"/>
            <w:shd w:fill="F5F7FA"/>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pPr>
            <w:r>
              <w:rPr>
                <w:rFonts w:ascii="Aptos" w:hAnsi="Aptos"/>
                <w:color w:val="0A1F44"/>
                <w:sz w:val="19"/>
              </w:rPr>
              <w:t>CS DEMO GAP 004</w:t>
            </w:r>
          </w:p>
        </w:tc>
      </w:tr>
      <w:tr>
        <w:tc>
          <w:tcPr>
            <w:tcW w:type="dxa" w:w="3240"/>
            <w:shd w:fill="FFFFFF"/>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pPr>
            <w:r>
              <w:rPr>
                <w:rFonts w:ascii="Aptos" w:hAnsi="Aptos"/>
                <w:color w:val="0A1F44"/>
                <w:sz w:val="19"/>
              </w:rPr>
              <w:t>Product category</w:t>
            </w:r>
          </w:p>
        </w:tc>
        <w:tc>
          <w:tcPr>
            <w:tcW w:type="dxa" w:w="6768"/>
            <w:shd w:fill="FFFFFF"/>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pPr>
            <w:r>
              <w:rPr>
                <w:rFonts w:ascii="Aptos" w:hAnsi="Aptos"/>
                <w:color w:val="0A1F44"/>
                <w:sz w:val="19"/>
              </w:rPr>
              <w:t>Sweater  Ecobalyse category pull</w:t>
            </w:r>
          </w:p>
        </w:tc>
      </w:tr>
      <w:tr>
        <w:tc>
          <w:tcPr>
            <w:tcW w:type="dxa" w:w="3240"/>
            <w:shd w:fill="F5F7FA"/>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pPr>
            <w:r>
              <w:rPr>
                <w:rFonts w:ascii="Aptos" w:hAnsi="Aptos"/>
                <w:color w:val="0A1F44"/>
                <w:sz w:val="19"/>
              </w:rPr>
              <w:t>Finished product mass</w:t>
            </w:r>
          </w:p>
        </w:tc>
        <w:tc>
          <w:tcPr>
            <w:tcW w:type="dxa" w:w="6768"/>
            <w:shd w:fill="F5F7FA"/>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pPr>
            <w:r>
              <w:rPr>
                <w:rFonts w:ascii="Aptos" w:hAnsi="Aptos"/>
                <w:color w:val="0A1F44"/>
                <w:sz w:val="19"/>
              </w:rPr>
              <w:t>Not recorded in the current specification</w:t>
            </w:r>
          </w:p>
        </w:tc>
      </w:tr>
      <w:tr>
        <w:tc>
          <w:tcPr>
            <w:tcW w:type="dxa" w:w="3240"/>
            <w:shd w:fill="FFFFFF"/>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pPr>
            <w:r>
              <w:rPr>
                <w:rFonts w:ascii="Aptos" w:hAnsi="Aptos"/>
                <w:color w:val="0A1F44"/>
                <w:sz w:val="19"/>
              </w:rPr>
              <w:t>Reference selling price</w:t>
            </w:r>
          </w:p>
        </w:tc>
        <w:tc>
          <w:tcPr>
            <w:tcW w:type="dxa" w:w="6768"/>
            <w:shd w:fill="FFFFFF"/>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pPr>
            <w:r>
              <w:rPr>
                <w:rFonts w:ascii="Aptos" w:hAnsi="Aptos"/>
                <w:color w:val="0A1F44"/>
                <w:sz w:val="19"/>
              </w:rPr>
              <w:t>Not supplied</w:t>
            </w:r>
          </w:p>
        </w:tc>
      </w:tr>
    </w:tbl>
    <w:p>
      <w:pPr>
        <w:spacing w:after="0"/>
      </w:pPr>
    </w:p>
    <w:p>
      <w:pPr>
        <w:pStyle w:val="Heading1"/>
      </w:pPr>
      <w:r>
        <w:t>Available composition information</w:t>
      </w:r>
    </w:p>
    <w:tbl>
      <w:tblPr>
        <w:tblW w:type="auto" w:w="0"/>
        <w:jc w:val="center"/>
        <w:tblLayout w:type="fixed"/>
        <w:tblLook w:firstColumn="1" w:firstRow="1" w:lastColumn="0" w:lastRow="0" w:noHBand="0" w:noVBand="1" w:val="04A0"/>
      </w:tblPr>
      <w:tblGrid>
        <w:gridCol w:w="2541"/>
        <w:gridCol w:w="2541"/>
        <w:gridCol w:w="2541"/>
        <w:gridCol w:w="2541"/>
      </w:tblGrid>
      <w:tr>
        <w:trPr>
          <w:tblHeader w:val="true"/>
        </w:trPr>
        <w:tc>
          <w:tcPr>
            <w:tcW w:type="dxa" w:w="3384"/>
            <w:shd w:fill="001D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pPr>
            <w:r>
              <w:rPr>
                <w:rFonts w:ascii="Aptos" w:hAnsi="Aptos"/>
                <w:b/>
                <w:color w:val="FFFFFF"/>
                <w:sz w:val="18"/>
              </w:rPr>
              <w:t>Material statement</w:t>
            </w:r>
          </w:p>
        </w:tc>
        <w:tc>
          <w:tcPr>
            <w:tcW w:type="dxa" w:w="2592"/>
            <w:shd w:fill="001D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pPr>
            <w:r>
              <w:rPr>
                <w:rFonts w:ascii="Aptos" w:hAnsi="Aptos"/>
                <w:b/>
                <w:color w:val="FFFFFF"/>
                <w:sz w:val="18"/>
              </w:rPr>
              <w:t>Share</w:t>
            </w:r>
          </w:p>
        </w:tc>
        <w:tc>
          <w:tcPr>
            <w:tcW w:type="dxa" w:w="2016"/>
            <w:shd w:fill="001D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pPr>
            <w:r>
              <w:rPr>
                <w:rFonts w:ascii="Aptos" w:hAnsi="Aptos"/>
                <w:b/>
                <w:color w:val="FFFFFF"/>
                <w:sz w:val="18"/>
              </w:rPr>
              <w:t>Material ID</w:t>
            </w:r>
          </w:p>
        </w:tc>
        <w:tc>
          <w:tcPr>
            <w:tcW w:type="dxa" w:w="2016"/>
            <w:shd w:fill="001D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pPr>
            <w:r>
              <w:rPr>
                <w:rFonts w:ascii="Aptos" w:hAnsi="Aptos"/>
                <w:b/>
                <w:color w:val="FFFFFF"/>
                <w:sz w:val="18"/>
              </w:rPr>
              <w:t>Origin</w:t>
            </w:r>
          </w:p>
        </w:tc>
      </w:tr>
      <w:tr>
        <w:tc>
          <w:tcPr>
            <w:tcW w:type="dxa" w:w="3384"/>
            <w:shd w:fill="FFFFFF"/>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pPr>
            <w:r>
              <w:rPr>
                <w:rFonts w:ascii="Aptos" w:hAnsi="Aptos"/>
                <w:color w:val="0A1F44"/>
                <w:sz w:val="19"/>
              </w:rPr>
              <w:t>Cotton</w:t>
            </w:r>
          </w:p>
        </w:tc>
        <w:tc>
          <w:tcPr>
            <w:tcW w:type="dxa" w:w="2592"/>
            <w:shd w:fill="FFFFFF"/>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pPr>
            <w:r>
              <w:rPr>
                <w:rFonts w:ascii="Aptos" w:hAnsi="Aptos"/>
                <w:color w:val="0A1F44"/>
                <w:sz w:val="19"/>
              </w:rPr>
              <w:t>80 percent</w:t>
            </w:r>
          </w:p>
        </w:tc>
        <w:tc>
          <w:tcPr>
            <w:tcW w:type="dxa" w:w="2016"/>
            <w:shd w:fill="FFFFFF"/>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pPr>
            <w:r>
              <w:rPr>
                <w:rFonts w:ascii="Aptos" w:hAnsi="Aptos"/>
                <w:color w:val="0A1F44"/>
                <w:sz w:val="19"/>
              </w:rPr>
              <w:t>Not supplied</w:t>
            </w:r>
          </w:p>
        </w:tc>
        <w:tc>
          <w:tcPr>
            <w:tcW w:type="dxa" w:w="2016"/>
            <w:shd w:fill="FFFFFF"/>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pPr>
            <w:r>
              <w:rPr>
                <w:rFonts w:ascii="Aptos" w:hAnsi="Aptos"/>
                <w:color w:val="0A1F44"/>
                <w:sz w:val="19"/>
              </w:rPr>
              <w:t>Not supplied</w:t>
            </w:r>
          </w:p>
        </w:tc>
      </w:tr>
      <w:tr>
        <w:tc>
          <w:tcPr>
            <w:tcW w:type="dxa" w:w="3384"/>
            <w:shd w:fill="F5F7FA"/>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pPr>
            <w:r>
              <w:rPr>
                <w:rFonts w:ascii="Aptos" w:hAnsi="Aptos"/>
                <w:color w:val="0A1F44"/>
                <w:sz w:val="19"/>
              </w:rPr>
              <w:t>Remaining fiber</w:t>
            </w:r>
          </w:p>
        </w:tc>
        <w:tc>
          <w:tcPr>
            <w:tcW w:type="dxa" w:w="2592"/>
            <w:shd w:fill="F5F7FA"/>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pPr>
            <w:r>
              <w:rPr>
                <w:rFonts w:ascii="Aptos" w:hAnsi="Aptos"/>
                <w:color w:val="0A1F44"/>
                <w:sz w:val="19"/>
              </w:rPr>
              <w:t>20 percent pending confirmation</w:t>
            </w:r>
          </w:p>
        </w:tc>
        <w:tc>
          <w:tcPr>
            <w:tcW w:type="dxa" w:w="2016"/>
            <w:shd w:fill="F5F7FA"/>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pPr>
            <w:r>
              <w:rPr>
                <w:rFonts w:ascii="Aptos" w:hAnsi="Aptos"/>
                <w:color w:val="0A1F44"/>
                <w:sz w:val="19"/>
              </w:rPr>
              <w:t>Not supplied</w:t>
            </w:r>
          </w:p>
        </w:tc>
        <w:tc>
          <w:tcPr>
            <w:tcW w:type="dxa" w:w="2016"/>
            <w:shd w:fill="F5F7FA"/>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pPr>
            <w:r>
              <w:rPr>
                <w:rFonts w:ascii="Aptos" w:hAnsi="Aptos"/>
                <w:color w:val="0A1F44"/>
                <w:sz w:val="19"/>
              </w:rPr>
              <w:t>Not supplied</w:t>
            </w:r>
          </w:p>
        </w:tc>
      </w:tr>
    </w:tbl>
    <w:p>
      <w:pPr>
        <w:spacing w:after="0"/>
      </w:pPr>
    </w:p>
    <w:p>
      <w:pPr>
        <w:pStyle w:val="Heading1"/>
      </w:pPr>
      <w:r>
        <w:t>Available manufacturing information</w:t>
      </w:r>
    </w:p>
    <w:tbl>
      <w:tblPr>
        <w:tblW w:type="auto" w:w="0"/>
        <w:jc w:val="center"/>
        <w:tblLayout w:type="fixed"/>
        <w:tblLook w:firstColumn="1" w:firstRow="1" w:lastColumn="0" w:lastRow="0" w:noHBand="0" w:noVBand="1" w:val="04A0"/>
      </w:tblPr>
      <w:tblGrid>
        <w:gridCol w:w="3389"/>
        <w:gridCol w:w="3389"/>
        <w:gridCol w:w="3389"/>
      </w:tblGrid>
      <w:tr>
        <w:trPr>
          <w:tblHeader w:val="true"/>
        </w:trPr>
        <w:tc>
          <w:tcPr>
            <w:tcW w:type="dxa" w:w="3528"/>
            <w:shd w:fill="001D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pPr>
            <w:r>
              <w:rPr>
                <w:rFonts w:ascii="Aptos" w:hAnsi="Aptos"/>
                <w:b/>
                <w:color w:val="FFFFFF"/>
                <w:sz w:val="18"/>
              </w:rPr>
              <w:t>Production stage</w:t>
            </w:r>
          </w:p>
        </w:tc>
        <w:tc>
          <w:tcPr>
            <w:tcW w:type="dxa" w:w="3960"/>
            <w:shd w:fill="001D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pPr>
            <w:r>
              <w:rPr>
                <w:rFonts w:ascii="Aptos" w:hAnsi="Aptos"/>
                <w:b/>
                <w:color w:val="FFFFFF"/>
                <w:sz w:val="18"/>
              </w:rPr>
              <w:t>Supplier statement</w:t>
            </w:r>
          </w:p>
        </w:tc>
        <w:tc>
          <w:tcPr>
            <w:tcW w:type="dxa" w:w="2520"/>
            <w:shd w:fill="001D4A"/>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pPr>
            <w:r>
              <w:rPr>
                <w:rFonts w:ascii="Aptos" w:hAnsi="Aptos"/>
                <w:b/>
                <w:color w:val="FFFFFF"/>
                <w:sz w:val="18"/>
              </w:rPr>
              <w:t>Country code</w:t>
            </w:r>
          </w:p>
        </w:tc>
      </w:tr>
      <w:tr>
        <w:tc>
          <w:tcPr>
            <w:tcW w:type="dxa" w:w="3528"/>
            <w:shd w:fill="FFFFFF"/>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pPr>
            <w:r>
              <w:rPr>
                <w:rFonts w:ascii="Aptos" w:hAnsi="Aptos"/>
                <w:color w:val="0A1F44"/>
                <w:sz w:val="19"/>
              </w:rPr>
              <w:t>Fabric production</w:t>
            </w:r>
          </w:p>
        </w:tc>
        <w:tc>
          <w:tcPr>
            <w:tcW w:type="dxa" w:w="3960"/>
            <w:shd w:fill="FFFFFF"/>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pPr>
            <w:r>
              <w:rPr>
                <w:rFonts w:ascii="Aptos" w:hAnsi="Aptos"/>
                <w:color w:val="0A1F44"/>
                <w:sz w:val="19"/>
              </w:rPr>
              <w:t>Turkey</w:t>
            </w:r>
          </w:p>
        </w:tc>
        <w:tc>
          <w:tcPr>
            <w:tcW w:type="dxa" w:w="2520"/>
            <w:shd w:fill="FFFFFF"/>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pPr>
            <w:r>
              <w:rPr>
                <w:rFonts w:ascii="Aptos" w:hAnsi="Aptos"/>
                <w:color w:val="0A1F44"/>
                <w:sz w:val="19"/>
              </w:rPr>
              <w:t>TR</w:t>
            </w:r>
          </w:p>
        </w:tc>
      </w:tr>
      <w:tr>
        <w:tc>
          <w:tcPr>
            <w:tcW w:type="dxa" w:w="3528"/>
            <w:shd w:fill="F5F7FA"/>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pPr>
            <w:r>
              <w:rPr>
                <w:rFonts w:ascii="Aptos" w:hAnsi="Aptos"/>
                <w:color w:val="0A1F44"/>
                <w:sz w:val="19"/>
              </w:rPr>
              <w:t>Dyeing and finishing</w:t>
            </w:r>
          </w:p>
        </w:tc>
        <w:tc>
          <w:tcPr>
            <w:tcW w:type="dxa" w:w="3960"/>
            <w:shd w:fill="F5F7FA"/>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pPr>
            <w:r>
              <w:rPr>
                <w:rFonts w:ascii="Aptos" w:hAnsi="Aptos"/>
                <w:color w:val="0A1F44"/>
                <w:sz w:val="19"/>
              </w:rPr>
              <w:t>Location not confirmed</w:t>
            </w:r>
          </w:p>
        </w:tc>
        <w:tc>
          <w:tcPr>
            <w:tcW w:type="dxa" w:w="2520"/>
            <w:shd w:fill="F5F7FA"/>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pPr>
            <w:r>
              <w:rPr>
                <w:rFonts w:ascii="Aptos" w:hAnsi="Aptos"/>
                <w:color w:val="0A1F44"/>
                <w:sz w:val="19"/>
              </w:rPr>
              <w:t>Not supplied</w:t>
            </w:r>
          </w:p>
        </w:tc>
      </w:tr>
      <w:tr>
        <w:tc>
          <w:tcPr>
            <w:tcW w:type="dxa" w:w="3528"/>
            <w:shd w:fill="FFFFFF"/>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pPr>
            <w:r>
              <w:rPr>
                <w:rFonts w:ascii="Aptos" w:hAnsi="Aptos"/>
                <w:color w:val="0A1F44"/>
                <w:sz w:val="19"/>
              </w:rPr>
              <w:t>Final assembly</w:t>
            </w:r>
          </w:p>
        </w:tc>
        <w:tc>
          <w:tcPr>
            <w:tcW w:type="dxa" w:w="3960"/>
            <w:shd w:fill="FFFFFF"/>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pPr>
            <w:r>
              <w:rPr>
                <w:rFonts w:ascii="Aptos" w:hAnsi="Aptos"/>
                <w:color w:val="0A1F44"/>
                <w:sz w:val="19"/>
              </w:rPr>
              <w:t>India</w:t>
            </w:r>
          </w:p>
        </w:tc>
        <w:tc>
          <w:tcPr>
            <w:tcW w:type="dxa" w:w="2520"/>
            <w:shd w:fill="FFFFFF"/>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pPr>
            <w:r>
              <w:rPr>
                <w:rFonts w:ascii="Aptos" w:hAnsi="Aptos"/>
                <w:color w:val="0A1F44"/>
                <w:sz w:val="19"/>
              </w:rPr>
              <w:t>IN</w:t>
            </w:r>
          </w:p>
        </w:tc>
      </w:tr>
    </w:tbl>
    <w:p>
      <w:pPr>
        <w:spacing w:after="0"/>
      </w:pPr>
    </w:p>
    <w:p>
      <w:pPr>
        <w:pStyle w:val="Heading2"/>
        <w:spacing w:before="160"/>
      </w:pPr>
      <w:r>
        <w:t>Expected review behavior</w:t>
      </w:r>
    </w:p>
    <w:p>
      <w:pPr>
        <w:spacing w:after="0"/>
      </w:pPr>
      <w:r>
        <w:rPr>
          <w:color w:val="506079"/>
        </w:rPr>
        <w:t>The analyzer should retain the sweater category, reference, 80 percent cotton statement, Turkey fabric location and India assembly location. The row should remain blocked by missing mass, unsupported material IDs, incomplete material shares and the missing dyeing location.</w:t>
      </w:r>
    </w:p>
    <w:sectPr w:rsidR="00FC693F" w:rsidRPr="0006063C" w:rsidSect="00034616">
      <w:headerReference w:type="default" r:id="rId9"/>
      <w:footerReference w:type="default" r:id="rId10"/>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06079"/>
        <w:sz w:val="16"/>
      </w:rPr>
      <w:t>Fictional demonstration document  |  Not a supplier declaration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000000"/>
        <w:sz w:val="16"/>
      </w:rPr>
      <w:t>COMMONSHARE SAMPLE LIBRARY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0A1F44"/>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ptos Display" w:hAnsi="Aptos Display"/>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ptos Display" w:hAnsi="Aptos Display"/>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